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82F3F" w14:textId="60909EAB" w:rsidR="002219F3" w:rsidRDefault="002219F3" w:rsidP="00F4624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1C54">
        <w:rPr>
          <w:rFonts w:ascii="Arial" w:hAnsi="Arial" w:cs="Arial"/>
          <w:sz w:val="22"/>
          <w:szCs w:val="22"/>
        </w:rPr>
        <w:t>Summary</w:t>
      </w:r>
      <w:r>
        <w:rPr>
          <w:rFonts w:ascii="Arial" w:hAnsi="Arial" w:cs="Arial"/>
          <w:sz w:val="22"/>
          <w:szCs w:val="22"/>
        </w:rPr>
        <w:t xml:space="preserve"> Offences and Other Legislation Amendment Bill 2023 (the Bill</w:t>
      </w:r>
      <w:r w:rsidR="00D51C54">
        <w:rPr>
          <w:rFonts w:ascii="Arial" w:hAnsi="Arial" w:cs="Arial"/>
          <w:sz w:val="22"/>
          <w:szCs w:val="22"/>
        </w:rPr>
        <w:t xml:space="preserve">) amends the </w:t>
      </w:r>
      <w:r w:rsidR="00D51C54" w:rsidRPr="00D51C54">
        <w:rPr>
          <w:rFonts w:ascii="Arial" w:hAnsi="Arial" w:cs="Arial"/>
          <w:i/>
          <w:iCs/>
          <w:sz w:val="22"/>
          <w:szCs w:val="22"/>
        </w:rPr>
        <w:t>Summary Offences Act 2005</w:t>
      </w:r>
      <w:r w:rsidR="00D51C54">
        <w:rPr>
          <w:rFonts w:ascii="Arial" w:hAnsi="Arial" w:cs="Arial"/>
          <w:sz w:val="22"/>
          <w:szCs w:val="22"/>
        </w:rPr>
        <w:t xml:space="preserve"> and the </w:t>
      </w:r>
      <w:r w:rsidR="00D51C54" w:rsidRPr="00F964D9">
        <w:rPr>
          <w:rFonts w:ascii="Arial" w:hAnsi="Arial" w:cs="Arial"/>
          <w:i/>
          <w:iCs/>
          <w:sz w:val="22"/>
          <w:szCs w:val="22"/>
        </w:rPr>
        <w:t>Police Powers and Responsibilities Act 2000</w:t>
      </w:r>
      <w:r w:rsidR="00D8724D">
        <w:rPr>
          <w:rFonts w:ascii="Arial" w:hAnsi="Arial" w:cs="Arial"/>
          <w:i/>
          <w:iCs/>
          <w:sz w:val="22"/>
          <w:szCs w:val="22"/>
        </w:rPr>
        <w:t>.</w:t>
      </w:r>
    </w:p>
    <w:p w14:paraId="7B6A58C0" w14:textId="07DE2CD1" w:rsidR="009539C3" w:rsidRPr="00E94091" w:rsidRDefault="00D8724D" w:rsidP="00F4624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77B1917E">
        <w:rPr>
          <w:rFonts w:ascii="Arial" w:hAnsi="Arial" w:cs="Arial"/>
          <w:sz w:val="22"/>
          <w:szCs w:val="22"/>
        </w:rPr>
        <w:t xml:space="preserve">The </w:t>
      </w:r>
      <w:r w:rsidR="00C73C8C" w:rsidRPr="77B1917E">
        <w:rPr>
          <w:rFonts w:ascii="Arial" w:hAnsi="Arial" w:cs="Arial"/>
          <w:sz w:val="22"/>
          <w:szCs w:val="22"/>
        </w:rPr>
        <w:t>Bill</w:t>
      </w:r>
      <w:r w:rsidRPr="77B1917E">
        <w:rPr>
          <w:rFonts w:ascii="Arial" w:hAnsi="Arial" w:cs="Arial"/>
          <w:sz w:val="22"/>
          <w:szCs w:val="22"/>
        </w:rPr>
        <w:t xml:space="preserve"> </w:t>
      </w:r>
      <w:r w:rsidR="00CE50D3" w:rsidRPr="77B1917E">
        <w:rPr>
          <w:rFonts w:ascii="Arial" w:hAnsi="Arial" w:cs="Arial"/>
          <w:sz w:val="22"/>
          <w:szCs w:val="22"/>
        </w:rPr>
        <w:t xml:space="preserve">aims to </w:t>
      </w:r>
      <w:r w:rsidR="00E94091" w:rsidRPr="77B1917E">
        <w:rPr>
          <w:rFonts w:ascii="Arial" w:hAnsi="Arial" w:cs="Arial"/>
          <w:sz w:val="22"/>
          <w:szCs w:val="22"/>
        </w:rPr>
        <w:t xml:space="preserve">promote </w:t>
      </w:r>
      <w:r w:rsidR="00BE69F1" w:rsidRPr="77B1917E">
        <w:rPr>
          <w:rFonts w:ascii="Arial" w:hAnsi="Arial" w:cs="Arial"/>
          <w:sz w:val="22"/>
          <w:szCs w:val="22"/>
        </w:rPr>
        <w:t>community safety</w:t>
      </w:r>
      <w:r w:rsidR="0005740E" w:rsidRPr="77B1917E">
        <w:rPr>
          <w:rFonts w:ascii="Arial" w:hAnsi="Arial" w:cs="Arial"/>
          <w:sz w:val="22"/>
          <w:szCs w:val="22"/>
        </w:rPr>
        <w:t xml:space="preserve">, </w:t>
      </w:r>
      <w:r w:rsidR="008E63A8" w:rsidRPr="77B1917E">
        <w:rPr>
          <w:rFonts w:ascii="Arial" w:hAnsi="Arial" w:cs="Arial"/>
          <w:sz w:val="22"/>
          <w:szCs w:val="22"/>
        </w:rPr>
        <w:t>reduce the accessibility of dangerous knives and other weapons to young people, disrupt</w:t>
      </w:r>
      <w:r w:rsidR="009539C3" w:rsidRPr="77B1917E">
        <w:rPr>
          <w:rFonts w:ascii="Arial" w:hAnsi="Arial" w:cs="Arial"/>
          <w:sz w:val="22"/>
          <w:szCs w:val="22"/>
        </w:rPr>
        <w:t xml:space="preserve"> and deter violent offences and curb the notoriety of weapon possession</w:t>
      </w:r>
      <w:r w:rsidR="00E94091" w:rsidRPr="77B1917E">
        <w:rPr>
          <w:rFonts w:ascii="Arial" w:hAnsi="Arial" w:cs="Arial"/>
          <w:sz w:val="22"/>
          <w:szCs w:val="22"/>
        </w:rPr>
        <w:t xml:space="preserve"> by:</w:t>
      </w:r>
    </w:p>
    <w:p w14:paraId="4715D0B4" w14:textId="2844FBAB" w:rsidR="007C73AF" w:rsidRDefault="00CE50D3" w:rsidP="00F705EE">
      <w:pPr>
        <w:numPr>
          <w:ilvl w:val="1"/>
          <w:numId w:val="1"/>
        </w:num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A062F">
        <w:rPr>
          <w:rFonts w:ascii="Arial" w:hAnsi="Arial" w:cs="Arial"/>
          <w:sz w:val="22"/>
          <w:szCs w:val="22"/>
        </w:rPr>
        <w:t>rohibit</w:t>
      </w:r>
      <w:r w:rsidR="00E94091">
        <w:rPr>
          <w:rFonts w:ascii="Arial" w:hAnsi="Arial" w:cs="Arial"/>
          <w:sz w:val="22"/>
          <w:szCs w:val="22"/>
        </w:rPr>
        <w:t>ing</w:t>
      </w:r>
      <w:r w:rsidR="00BA062F">
        <w:rPr>
          <w:rFonts w:ascii="Arial" w:hAnsi="Arial" w:cs="Arial"/>
          <w:sz w:val="22"/>
          <w:szCs w:val="22"/>
        </w:rPr>
        <w:t xml:space="preserve"> the sale of knives and other weapons </w:t>
      </w:r>
      <w:r w:rsidR="000E4146">
        <w:rPr>
          <w:rFonts w:ascii="Arial" w:hAnsi="Arial" w:cs="Arial"/>
          <w:sz w:val="22"/>
          <w:szCs w:val="22"/>
        </w:rPr>
        <w:t xml:space="preserve">(known as ‘controlled items’) </w:t>
      </w:r>
      <w:r w:rsidR="00BA062F">
        <w:rPr>
          <w:rFonts w:ascii="Arial" w:hAnsi="Arial" w:cs="Arial"/>
          <w:sz w:val="22"/>
          <w:szCs w:val="22"/>
        </w:rPr>
        <w:t>to minors</w:t>
      </w:r>
      <w:r w:rsidR="005E104A">
        <w:rPr>
          <w:rFonts w:ascii="Arial" w:hAnsi="Arial" w:cs="Arial"/>
          <w:sz w:val="22"/>
          <w:szCs w:val="22"/>
        </w:rPr>
        <w:t>;</w:t>
      </w:r>
    </w:p>
    <w:p w14:paraId="03ED96B8" w14:textId="7977921B" w:rsidR="002B7A83" w:rsidRDefault="00CE50D3" w:rsidP="00F705EE">
      <w:pPr>
        <w:numPr>
          <w:ilvl w:val="1"/>
          <w:numId w:val="1"/>
        </w:num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B7A83">
        <w:rPr>
          <w:rFonts w:ascii="Arial" w:hAnsi="Arial" w:cs="Arial"/>
          <w:sz w:val="22"/>
          <w:szCs w:val="22"/>
        </w:rPr>
        <w:t>reat</w:t>
      </w:r>
      <w:r w:rsidR="0016535E">
        <w:rPr>
          <w:rFonts w:ascii="Arial" w:hAnsi="Arial" w:cs="Arial"/>
          <w:sz w:val="22"/>
          <w:szCs w:val="22"/>
        </w:rPr>
        <w:t>ing</w:t>
      </w:r>
      <w:r w:rsidR="002B7A83">
        <w:rPr>
          <w:rFonts w:ascii="Arial" w:hAnsi="Arial" w:cs="Arial"/>
          <w:sz w:val="22"/>
          <w:szCs w:val="22"/>
        </w:rPr>
        <w:t xml:space="preserve"> a new offence for </w:t>
      </w:r>
      <w:r w:rsidR="002138EB">
        <w:rPr>
          <w:rFonts w:ascii="Arial" w:hAnsi="Arial" w:cs="Arial"/>
          <w:sz w:val="22"/>
          <w:szCs w:val="22"/>
        </w:rPr>
        <w:t xml:space="preserve">a person to </w:t>
      </w:r>
      <w:r w:rsidR="002B7A83">
        <w:rPr>
          <w:rFonts w:ascii="Arial" w:hAnsi="Arial" w:cs="Arial"/>
          <w:sz w:val="22"/>
          <w:szCs w:val="22"/>
        </w:rPr>
        <w:t xml:space="preserve">falsely represent themselves to have attained the age of 18 </w:t>
      </w:r>
      <w:r w:rsidR="00CC28C6">
        <w:rPr>
          <w:rFonts w:ascii="Arial" w:hAnsi="Arial" w:cs="Arial"/>
          <w:sz w:val="22"/>
          <w:szCs w:val="22"/>
        </w:rPr>
        <w:t>in order to purchase controlled items;</w:t>
      </w:r>
    </w:p>
    <w:p w14:paraId="06CE3FED" w14:textId="7B2CFE7B" w:rsidR="00CC28C6" w:rsidRPr="005262F2" w:rsidRDefault="00CE50D3" w:rsidP="00F705EE">
      <w:pPr>
        <w:numPr>
          <w:ilvl w:val="1"/>
          <w:numId w:val="1"/>
        </w:num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C28C6" w:rsidRPr="00AD65F5">
        <w:rPr>
          <w:rFonts w:ascii="Arial" w:hAnsi="Arial" w:cs="Arial"/>
          <w:sz w:val="22"/>
          <w:szCs w:val="22"/>
        </w:rPr>
        <w:t>equir</w:t>
      </w:r>
      <w:r w:rsidR="0016535E">
        <w:rPr>
          <w:rFonts w:ascii="Arial" w:hAnsi="Arial" w:cs="Arial"/>
          <w:sz w:val="22"/>
          <w:szCs w:val="22"/>
        </w:rPr>
        <w:t>ing</w:t>
      </w:r>
      <w:r w:rsidR="00CC28C6" w:rsidRPr="00AD65F5">
        <w:rPr>
          <w:rFonts w:ascii="Arial" w:hAnsi="Arial" w:cs="Arial"/>
          <w:sz w:val="22"/>
          <w:szCs w:val="22"/>
        </w:rPr>
        <w:t xml:space="preserve"> sellers of controlled items to display signage at retail outlets </w:t>
      </w:r>
      <w:r w:rsidR="00EA0BED" w:rsidRPr="00AD65F5">
        <w:rPr>
          <w:rFonts w:ascii="Arial" w:hAnsi="Arial" w:cs="Arial"/>
          <w:sz w:val="22"/>
          <w:szCs w:val="22"/>
        </w:rPr>
        <w:t xml:space="preserve">advertising the prohibition on the sale of controlled </w:t>
      </w:r>
      <w:r w:rsidR="00EA0BED" w:rsidRPr="005262F2">
        <w:rPr>
          <w:rFonts w:ascii="Arial" w:hAnsi="Arial" w:cs="Arial"/>
          <w:sz w:val="22"/>
          <w:szCs w:val="22"/>
        </w:rPr>
        <w:t>items to minors;</w:t>
      </w:r>
    </w:p>
    <w:p w14:paraId="1CBDA770" w14:textId="2AD0897E" w:rsidR="005262F2" w:rsidRPr="005262F2" w:rsidRDefault="00AD65F5" w:rsidP="00F705EE">
      <w:pPr>
        <w:numPr>
          <w:ilvl w:val="1"/>
          <w:numId w:val="1"/>
        </w:num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5262F2">
        <w:rPr>
          <w:rFonts w:ascii="Arial" w:hAnsi="Arial" w:cs="Arial"/>
          <w:sz w:val="22"/>
          <w:szCs w:val="22"/>
        </w:rPr>
        <w:t>impos</w:t>
      </w:r>
      <w:r w:rsidR="0016535E">
        <w:rPr>
          <w:rFonts w:ascii="Arial" w:hAnsi="Arial" w:cs="Arial"/>
          <w:sz w:val="22"/>
          <w:szCs w:val="22"/>
        </w:rPr>
        <w:t>ing</w:t>
      </w:r>
      <w:r w:rsidRPr="005262F2">
        <w:rPr>
          <w:rFonts w:ascii="Arial" w:hAnsi="Arial" w:cs="Arial"/>
          <w:sz w:val="22"/>
          <w:szCs w:val="22"/>
        </w:rPr>
        <w:t xml:space="preserve"> obligations upon suppliers of particular controlled items to safely secure the item at retail locations;</w:t>
      </w:r>
      <w:r w:rsidR="00CE50D3">
        <w:rPr>
          <w:rFonts w:ascii="Arial" w:hAnsi="Arial" w:cs="Arial"/>
          <w:sz w:val="22"/>
          <w:szCs w:val="22"/>
        </w:rPr>
        <w:t xml:space="preserve"> and</w:t>
      </w:r>
    </w:p>
    <w:p w14:paraId="0B7A1D18" w14:textId="56EC9B2D" w:rsidR="005262F2" w:rsidRPr="005262F2" w:rsidRDefault="005262F2" w:rsidP="00F705EE">
      <w:pPr>
        <w:numPr>
          <w:ilvl w:val="1"/>
          <w:numId w:val="1"/>
        </w:numPr>
        <w:ind w:left="850" w:hanging="425"/>
        <w:jc w:val="both"/>
        <w:rPr>
          <w:rFonts w:ascii="Arial" w:hAnsi="Arial" w:cs="Arial"/>
          <w:sz w:val="22"/>
          <w:szCs w:val="22"/>
        </w:rPr>
      </w:pPr>
      <w:r w:rsidRPr="005262F2">
        <w:rPr>
          <w:rFonts w:ascii="Arial" w:hAnsi="Arial" w:cs="Arial"/>
          <w:sz w:val="22"/>
          <w:szCs w:val="22"/>
        </w:rPr>
        <w:t>prohibit</w:t>
      </w:r>
      <w:r w:rsidR="0016535E">
        <w:rPr>
          <w:rFonts w:ascii="Arial" w:hAnsi="Arial" w:cs="Arial"/>
          <w:sz w:val="22"/>
          <w:szCs w:val="22"/>
        </w:rPr>
        <w:t>ing</w:t>
      </w:r>
      <w:r w:rsidRPr="005262F2">
        <w:rPr>
          <w:rFonts w:ascii="Arial" w:hAnsi="Arial" w:cs="Arial"/>
          <w:sz w:val="22"/>
          <w:szCs w:val="22"/>
        </w:rPr>
        <w:t xml:space="preserve"> controlled items from being sold or advertised in a way that suggests the item is suitable for combat, intended to be used for violence, or likely to stimulate or encourage violent or criminal behaviour involving the item.</w:t>
      </w:r>
    </w:p>
    <w:p w14:paraId="01E72B73" w14:textId="77777777" w:rsidR="0086680D" w:rsidRPr="005A0F2F" w:rsidRDefault="004D4B78" w:rsidP="00F4624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 w:rsidRPr="00F964D9">
        <w:rPr>
          <w:rStyle w:val="normaltextrun"/>
          <w:rFonts w:ascii="Arial" w:hAnsi="Arial" w:cs="Arial"/>
          <w:sz w:val="22"/>
          <w:szCs w:val="22"/>
          <w:u w:val="single"/>
          <w:shd w:val="clear" w:color="auto" w:fill="FFFFFF"/>
        </w:rPr>
        <w:t>Cabinet approved</w:t>
      </w:r>
      <w:r w:rsidRPr="00F964D9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the </w:t>
      </w:r>
      <w:r w:rsidR="0089576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introduction of the </w:t>
      </w:r>
      <w:r w:rsidR="00895762">
        <w:rPr>
          <w:rFonts w:ascii="Arial" w:hAnsi="Arial" w:cs="Arial"/>
          <w:sz w:val="22"/>
          <w:szCs w:val="22"/>
        </w:rPr>
        <w:t>Summary Offences and Other Legislation Amendment Bill 2023</w:t>
      </w:r>
      <w:r w:rsidR="00F12A1A">
        <w:rPr>
          <w:rFonts w:ascii="Arial" w:hAnsi="Arial" w:cs="Arial"/>
          <w:sz w:val="22"/>
          <w:szCs w:val="22"/>
        </w:rPr>
        <w:t xml:space="preserve"> into the Legislative Assembly.</w:t>
      </w:r>
    </w:p>
    <w:p w14:paraId="6C2DF069" w14:textId="5F0BC6D7" w:rsidR="00895762" w:rsidRPr="00F705EE" w:rsidRDefault="0086680D" w:rsidP="00F4624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u w:val="single"/>
          <w:shd w:val="clear" w:color="auto" w:fill="FFFFFF"/>
        </w:rPr>
        <w:t>Cabinet approved</w:t>
      </w:r>
      <w:r w:rsidRPr="005A0F2F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4624F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that </w:t>
      </w:r>
      <w:r w:rsidRPr="005A0F2F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the Impact Analysis Statement (IAS) for the Bill signed by the Minister for Police and Corrective Services and Minister for Fire and Emergency Services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be published on the Queensland Police Service website.</w:t>
      </w:r>
    </w:p>
    <w:p w14:paraId="666A77E1" w14:textId="77CCA0BA" w:rsidR="003A6A3C" w:rsidRPr="00F964D9" w:rsidRDefault="003A6A3C" w:rsidP="00F4624F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77B1917E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F705EE" w:rsidRPr="77B1917E">
        <w:rPr>
          <w:rFonts w:ascii="Arial" w:hAnsi="Arial" w:cs="Arial"/>
          <w:sz w:val="22"/>
          <w:szCs w:val="22"/>
        </w:rPr>
        <w:t>:</w:t>
      </w:r>
    </w:p>
    <w:p w14:paraId="3567EDFB" w14:textId="4AD400AB" w:rsidR="00F12A1A" w:rsidRDefault="00461F0E" w:rsidP="00F705EE">
      <w:pPr>
        <w:numPr>
          <w:ilvl w:val="1"/>
          <w:numId w:val="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72825">
          <w:rPr>
            <w:rStyle w:val="Hyperlink"/>
            <w:rFonts w:ascii="Arial" w:hAnsi="Arial" w:cs="Arial"/>
            <w:sz w:val="22"/>
            <w:szCs w:val="22"/>
          </w:rPr>
          <w:t>Summary Offences and Other Legislation Amendment Bill 2023</w:t>
        </w:r>
      </w:hyperlink>
    </w:p>
    <w:p w14:paraId="3697DB4B" w14:textId="204C595F" w:rsidR="003A6A3C" w:rsidRPr="00F964D9" w:rsidRDefault="00461F0E" w:rsidP="00F705EE">
      <w:pPr>
        <w:numPr>
          <w:ilvl w:val="1"/>
          <w:numId w:val="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hyperlink r:id="rId12" w:history="1">
        <w:r w:rsidR="003A6A3C" w:rsidRPr="008844E4">
          <w:rPr>
            <w:rStyle w:val="Hyperlink"/>
            <w:rFonts w:ascii="Arial" w:hAnsi="Arial" w:cs="Arial"/>
            <w:bCs/>
            <w:sz w:val="22"/>
            <w:szCs w:val="22"/>
          </w:rPr>
          <w:t>Explanatory</w:t>
        </w:r>
        <w:r w:rsidR="003A6A3C" w:rsidRPr="008844E4">
          <w:rPr>
            <w:rStyle w:val="Hyperlink"/>
            <w:rFonts w:ascii="Arial" w:hAnsi="Arial" w:cs="Arial"/>
            <w:sz w:val="22"/>
            <w:szCs w:val="22"/>
          </w:rPr>
          <w:t xml:space="preserve"> Notes</w:t>
        </w:r>
      </w:hyperlink>
    </w:p>
    <w:p w14:paraId="60A80448" w14:textId="22718DCC" w:rsidR="00F81296" w:rsidRPr="005A0F2F" w:rsidRDefault="00461F0E" w:rsidP="00F705EE">
      <w:pPr>
        <w:numPr>
          <w:ilvl w:val="1"/>
          <w:numId w:val="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hyperlink r:id="rId13" w:history="1">
        <w:r w:rsidR="003A6A3C" w:rsidRPr="008844E4">
          <w:rPr>
            <w:rStyle w:val="Hyperlink"/>
            <w:rFonts w:ascii="Arial" w:hAnsi="Arial" w:cs="Arial"/>
            <w:sz w:val="22"/>
            <w:szCs w:val="22"/>
          </w:rPr>
          <w:t xml:space="preserve">Statement </w:t>
        </w:r>
        <w:r w:rsidR="003A6A3C" w:rsidRPr="008844E4">
          <w:rPr>
            <w:rStyle w:val="Hyperlink"/>
            <w:rFonts w:ascii="Arial" w:hAnsi="Arial" w:cs="Arial"/>
            <w:bCs/>
            <w:sz w:val="22"/>
            <w:szCs w:val="22"/>
          </w:rPr>
          <w:t>of</w:t>
        </w:r>
        <w:r w:rsidR="003A6A3C" w:rsidRPr="008844E4">
          <w:rPr>
            <w:rStyle w:val="Hyperlink"/>
            <w:rFonts w:ascii="Arial" w:hAnsi="Arial" w:cs="Arial"/>
            <w:sz w:val="22"/>
            <w:szCs w:val="22"/>
          </w:rPr>
          <w:t xml:space="preserve"> Compatibility with the </w:t>
        </w:r>
        <w:r w:rsidR="003A6A3C" w:rsidRPr="008844E4">
          <w:rPr>
            <w:rStyle w:val="Hyperlink"/>
            <w:rFonts w:ascii="Arial" w:hAnsi="Arial" w:cs="Arial"/>
            <w:i/>
            <w:iCs/>
            <w:sz w:val="22"/>
            <w:szCs w:val="22"/>
          </w:rPr>
          <w:t>Human Rights Act 2019</w:t>
        </w:r>
      </w:hyperlink>
    </w:p>
    <w:p w14:paraId="18C5AAD4" w14:textId="036828EB" w:rsidR="0086680D" w:rsidRPr="00F964D9" w:rsidRDefault="00461F0E" w:rsidP="00F705EE">
      <w:pPr>
        <w:numPr>
          <w:ilvl w:val="1"/>
          <w:numId w:val="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hyperlink r:id="rId14" w:history="1">
        <w:r w:rsidR="0086680D" w:rsidRPr="008844E4">
          <w:rPr>
            <w:rStyle w:val="Hyperlink"/>
            <w:rFonts w:ascii="Arial" w:hAnsi="Arial" w:cs="Arial"/>
            <w:sz w:val="22"/>
            <w:szCs w:val="22"/>
          </w:rPr>
          <w:t>Impact Analysis Statement</w:t>
        </w:r>
      </w:hyperlink>
    </w:p>
    <w:sectPr w:rsidR="0086680D" w:rsidRPr="00F964D9" w:rsidSect="00F4624F">
      <w:head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0F0C3" w14:textId="77777777" w:rsidR="001C6ACD" w:rsidRDefault="001C6ACD" w:rsidP="0088761B">
      <w:r>
        <w:separator/>
      </w:r>
    </w:p>
  </w:endnote>
  <w:endnote w:type="continuationSeparator" w:id="0">
    <w:p w14:paraId="03C0CB1E" w14:textId="77777777" w:rsidR="001C6ACD" w:rsidRDefault="001C6ACD" w:rsidP="0088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75BF" w14:textId="77777777" w:rsidR="001C6ACD" w:rsidRDefault="001C6ACD" w:rsidP="0088761B">
      <w:r>
        <w:separator/>
      </w:r>
    </w:p>
  </w:footnote>
  <w:footnote w:type="continuationSeparator" w:id="0">
    <w:p w14:paraId="4CF624EC" w14:textId="77777777" w:rsidR="001C6ACD" w:rsidRDefault="001C6ACD" w:rsidP="0088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0CB3" w14:textId="77777777" w:rsidR="00770879" w:rsidRPr="00937A4A" w:rsidRDefault="00770879" w:rsidP="0077087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D1A2FD5" w14:textId="77777777" w:rsidR="00770879" w:rsidRPr="00937A4A" w:rsidRDefault="00770879" w:rsidP="0077087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0A9BB26" w14:textId="00EA7264" w:rsidR="00770879" w:rsidRPr="00F964D9" w:rsidRDefault="00770879" w:rsidP="0077087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F964D9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C2F92">
      <w:rPr>
        <w:rFonts w:ascii="Arial" w:hAnsi="Arial" w:cs="Arial"/>
        <w:b/>
        <w:sz w:val="22"/>
        <w:szCs w:val="22"/>
      </w:rPr>
      <w:t>November</w:t>
    </w:r>
    <w:r w:rsidRPr="00F964D9">
      <w:rPr>
        <w:rFonts w:ascii="Arial" w:hAnsi="Arial" w:cs="Arial"/>
        <w:b/>
        <w:sz w:val="22"/>
        <w:szCs w:val="22"/>
      </w:rPr>
      <w:t xml:space="preserve"> 2023</w:t>
    </w:r>
  </w:p>
  <w:p w14:paraId="0B7AB559" w14:textId="77777777" w:rsidR="00E81175" w:rsidRPr="00E81175" w:rsidRDefault="00E81175" w:rsidP="0077087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81175">
      <w:rPr>
        <w:rFonts w:ascii="Arial" w:hAnsi="Arial" w:cs="Arial"/>
        <w:b/>
        <w:sz w:val="22"/>
        <w:szCs w:val="22"/>
        <w:u w:val="single"/>
      </w:rPr>
      <w:t>Summary Offences and Other Legislation Amendment Bill 2023</w:t>
    </w:r>
  </w:p>
  <w:p w14:paraId="16E02B45" w14:textId="0A6623DE" w:rsidR="00770879" w:rsidRDefault="00770879" w:rsidP="0077087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 and Corrective Services and Minister for Fire and Emergency Services</w:t>
    </w:r>
  </w:p>
  <w:p w14:paraId="30E8A606" w14:textId="77777777" w:rsidR="00770879" w:rsidRPr="00F4624F" w:rsidRDefault="00770879" w:rsidP="00770879">
    <w:pPr>
      <w:pStyle w:val="Header"/>
      <w:pBdr>
        <w:bottom w:val="single" w:sz="4" w:space="1" w:color="auto"/>
      </w:pBd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12E2"/>
    <w:multiLevelType w:val="hybridMultilevel"/>
    <w:tmpl w:val="7040E4D6"/>
    <w:lvl w:ilvl="0" w:tplc="0C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13D20CFC"/>
    <w:multiLevelType w:val="hybridMultilevel"/>
    <w:tmpl w:val="B280562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F2D4438"/>
    <w:multiLevelType w:val="hybridMultilevel"/>
    <w:tmpl w:val="9342F93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593664C"/>
    <w:multiLevelType w:val="hybridMultilevel"/>
    <w:tmpl w:val="C748D0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4604C2"/>
    <w:multiLevelType w:val="hybridMultilevel"/>
    <w:tmpl w:val="90163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176F87"/>
    <w:multiLevelType w:val="hybridMultilevel"/>
    <w:tmpl w:val="305210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25274">
    <w:abstractNumId w:val="5"/>
  </w:num>
  <w:num w:numId="2" w16cid:durableId="1739473719">
    <w:abstractNumId w:val="1"/>
  </w:num>
  <w:num w:numId="3" w16cid:durableId="522863475">
    <w:abstractNumId w:val="3"/>
  </w:num>
  <w:num w:numId="4" w16cid:durableId="173998357">
    <w:abstractNumId w:val="4"/>
  </w:num>
  <w:num w:numId="5" w16cid:durableId="493379224">
    <w:abstractNumId w:val="0"/>
  </w:num>
  <w:num w:numId="6" w16cid:durableId="1297563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1B"/>
    <w:rsid w:val="0002450A"/>
    <w:rsid w:val="000446B2"/>
    <w:rsid w:val="0005740E"/>
    <w:rsid w:val="0008744D"/>
    <w:rsid w:val="000E4146"/>
    <w:rsid w:val="000F70C5"/>
    <w:rsid w:val="0016535E"/>
    <w:rsid w:val="001C4071"/>
    <w:rsid w:val="001C6ACD"/>
    <w:rsid w:val="001C6F60"/>
    <w:rsid w:val="001D1162"/>
    <w:rsid w:val="002138EB"/>
    <w:rsid w:val="00213ECC"/>
    <w:rsid w:val="002219F3"/>
    <w:rsid w:val="00262DFC"/>
    <w:rsid w:val="00297117"/>
    <w:rsid w:val="002B7A83"/>
    <w:rsid w:val="002C31AA"/>
    <w:rsid w:val="00322A85"/>
    <w:rsid w:val="00366140"/>
    <w:rsid w:val="003A6A3C"/>
    <w:rsid w:val="00414048"/>
    <w:rsid w:val="00461F0E"/>
    <w:rsid w:val="00466898"/>
    <w:rsid w:val="00480E24"/>
    <w:rsid w:val="004A5F38"/>
    <w:rsid w:val="004B33F6"/>
    <w:rsid w:val="004D4B78"/>
    <w:rsid w:val="005262F2"/>
    <w:rsid w:val="0054593F"/>
    <w:rsid w:val="005466D3"/>
    <w:rsid w:val="00572B87"/>
    <w:rsid w:val="005A0F2F"/>
    <w:rsid w:val="005E104A"/>
    <w:rsid w:val="005F06CB"/>
    <w:rsid w:val="00607722"/>
    <w:rsid w:val="00675E77"/>
    <w:rsid w:val="0067613C"/>
    <w:rsid w:val="00687073"/>
    <w:rsid w:val="006E7415"/>
    <w:rsid w:val="006F0B71"/>
    <w:rsid w:val="00734BB6"/>
    <w:rsid w:val="007453CF"/>
    <w:rsid w:val="00762246"/>
    <w:rsid w:val="00770879"/>
    <w:rsid w:val="00786469"/>
    <w:rsid w:val="007C2F92"/>
    <w:rsid w:val="007C73AF"/>
    <w:rsid w:val="007D5D1E"/>
    <w:rsid w:val="008375DB"/>
    <w:rsid w:val="0086680D"/>
    <w:rsid w:val="008844E4"/>
    <w:rsid w:val="0088761B"/>
    <w:rsid w:val="00895762"/>
    <w:rsid w:val="008E0B6A"/>
    <w:rsid w:val="008E63A8"/>
    <w:rsid w:val="00901F12"/>
    <w:rsid w:val="009539C3"/>
    <w:rsid w:val="0095610A"/>
    <w:rsid w:val="00992552"/>
    <w:rsid w:val="009D0C7D"/>
    <w:rsid w:val="009D3D31"/>
    <w:rsid w:val="00A045AF"/>
    <w:rsid w:val="00A148BC"/>
    <w:rsid w:val="00A5356A"/>
    <w:rsid w:val="00A566D4"/>
    <w:rsid w:val="00AB0E5D"/>
    <w:rsid w:val="00AD65F5"/>
    <w:rsid w:val="00B639EB"/>
    <w:rsid w:val="00B9469E"/>
    <w:rsid w:val="00B957C1"/>
    <w:rsid w:val="00BA062F"/>
    <w:rsid w:val="00BD3EE3"/>
    <w:rsid w:val="00BE69F1"/>
    <w:rsid w:val="00C44250"/>
    <w:rsid w:val="00C56F3B"/>
    <w:rsid w:val="00C73C8C"/>
    <w:rsid w:val="00CA6453"/>
    <w:rsid w:val="00CC28C6"/>
    <w:rsid w:val="00CE50D3"/>
    <w:rsid w:val="00D174A3"/>
    <w:rsid w:val="00D46D8F"/>
    <w:rsid w:val="00D51C54"/>
    <w:rsid w:val="00D7509E"/>
    <w:rsid w:val="00D8724D"/>
    <w:rsid w:val="00E058E1"/>
    <w:rsid w:val="00E3565B"/>
    <w:rsid w:val="00E40E9C"/>
    <w:rsid w:val="00E72825"/>
    <w:rsid w:val="00E738EA"/>
    <w:rsid w:val="00E81175"/>
    <w:rsid w:val="00E94091"/>
    <w:rsid w:val="00EA0BED"/>
    <w:rsid w:val="00EB0A81"/>
    <w:rsid w:val="00F12A1A"/>
    <w:rsid w:val="00F2063F"/>
    <w:rsid w:val="00F4624F"/>
    <w:rsid w:val="00F639B7"/>
    <w:rsid w:val="00F705EE"/>
    <w:rsid w:val="00F74FE4"/>
    <w:rsid w:val="00F81296"/>
    <w:rsid w:val="00F964D9"/>
    <w:rsid w:val="00FC0926"/>
    <w:rsid w:val="77B19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6A2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E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61B"/>
  </w:style>
  <w:style w:type="paragraph" w:styleId="Footer">
    <w:name w:val="footer"/>
    <w:basedOn w:val="Normal"/>
    <w:link w:val="FooterChar"/>
    <w:uiPriority w:val="99"/>
    <w:unhideWhenUsed/>
    <w:rsid w:val="008876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1B"/>
  </w:style>
  <w:style w:type="paragraph" w:styleId="ListParagraph">
    <w:name w:val="List Paragraph"/>
    <w:aliases w:val="List Paragraph1,Recommendation,Bullet copy,LAQ Bullets,Bullet,List Paragraph11,bullet point list,Bullet point,Bulleted Para,NFP GP Bulleted List,FooterText,numbered,Paragraphe de liste1,Bulletr List Paragraph,列出段落,列出段落1,List Paragraph2,L"/>
    <w:basedOn w:val="Normal"/>
    <w:link w:val="ListParagraphChar"/>
    <w:uiPriority w:val="34"/>
    <w:qFormat/>
    <w:rsid w:val="00F81296"/>
    <w:pPr>
      <w:ind w:left="720"/>
      <w:contextualSpacing/>
    </w:pPr>
  </w:style>
  <w:style w:type="character" w:customStyle="1" w:styleId="normaltextrun">
    <w:name w:val="normaltextrun"/>
    <w:basedOn w:val="DefaultParagraphFont"/>
    <w:rsid w:val="004D4B78"/>
  </w:style>
  <w:style w:type="character" w:customStyle="1" w:styleId="eop">
    <w:name w:val="eop"/>
    <w:basedOn w:val="DefaultParagraphFont"/>
    <w:rsid w:val="004D4B78"/>
  </w:style>
  <w:style w:type="character" w:customStyle="1" w:styleId="ListParagraphChar">
    <w:name w:val="List Paragraph Char"/>
    <w:aliases w:val="List Paragraph1 Char,Recommendation Char,Bullet copy Char,LAQ Bullets Char,Bullet Char,List Paragraph11 Char,bullet point list Char,Bullet point Char,Bulleted Para Char,NFP GP Bulleted List Char,FooterText Char,numbered Char,L Char"/>
    <w:link w:val="ListParagraph"/>
    <w:uiPriority w:val="34"/>
    <w:locked/>
    <w:rsid w:val="00C56F3B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CE50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4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5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50A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50A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84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4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2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pcqld.sharepoint.com/sites/DPC-CABINETSERVICES/Shared%20Documents/General/Proactive%20Release/ToBeProcessed/2023/Nov/SOOLAB/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pcqld.sharepoint.com/sites/DPC-CABINETSERVICES/Shared%20Documents/General/Proactive%20Release/ToBeProcessed/2023/Nov/SOOLAB/Attachments/ExNot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cqld.sharepoint.com/sites/DPC-CABINETSERVICES/Shared%20Documents/General/Proactive%20Release/ToBeProcessed/2023/Nov/SOOLAB/Attachments/Bil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pcqld.sharepoint.com/sites/DPC-CABINETSERVICES/Shared%20Documents/General/Proactive%20Release/ToBeProcessed/2023/Nov/SOOLAB/Attachments/I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A42EF-F082-4F92-9059-7317BD92D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9609-F8ED-422A-B459-1DDCC66711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85830D-88C0-4E04-8B9C-A4F0F5FDD51A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4.xml><?xml version="1.0" encoding="utf-8"?>
<ds:datastoreItem xmlns:ds="http://schemas.openxmlformats.org/officeDocument/2006/customXml" ds:itemID="{64FFC1E7-27E7-47A8-8103-9F64E95B24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1402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Base>https://www.cabinet.qld.gov.au/documents/2023/Nov/SOOLAB/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2023-11-23T00:24:00Z</dcterms:created>
  <dcterms:modified xsi:type="dcterms:W3CDTF">2024-09-26T21:51:00Z</dcterms:modified>
  <cp:category>Crime,Legislation,Police,Safety,Violence,Weapons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MediaServiceImageTags">
    <vt:lpwstr/>
  </property>
</Properties>
</file>